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35EA2" w14:textId="052EBA98" w:rsidR="00274407" w:rsidRPr="001B7636" w:rsidRDefault="000A068E" w:rsidP="003F57C5">
      <w:pPr>
        <w:tabs>
          <w:tab w:val="left" w:pos="1682"/>
          <w:tab w:val="center" w:pos="4680"/>
        </w:tabs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Signed Up for</w:t>
      </w:r>
      <w:r w:rsidR="00CF2883">
        <w:rPr>
          <w:rFonts w:eastAsia="Times New Roman" w:cs="Times New Roman"/>
          <w:b/>
        </w:rPr>
        <w:t xml:space="preserve"> PLC?</w:t>
      </w:r>
      <w:r>
        <w:rPr>
          <w:rFonts w:eastAsia="Times New Roman" w:cs="Times New Roman"/>
          <w:b/>
        </w:rPr>
        <w:t xml:space="preserve">  You Are Eligible for Supplemental Crop Insurance</w:t>
      </w:r>
    </w:p>
    <w:p w14:paraId="7041A542" w14:textId="45EB09AF" w:rsidR="00551A4D" w:rsidRPr="001B7636" w:rsidRDefault="00313B23" w:rsidP="003F57C5">
      <w:pPr>
        <w:tabs>
          <w:tab w:val="left" w:pos="1682"/>
          <w:tab w:val="center" w:pos="4680"/>
        </w:tabs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</w:rPr>
      </w:pPr>
      <w:r w:rsidRPr="001B7636">
        <w:rPr>
          <w:rFonts w:eastAsia="Times New Roman" w:cs="Times New Roman"/>
        </w:rPr>
        <w:t xml:space="preserve">Marina Arouca, </w:t>
      </w:r>
      <w:r w:rsidR="00551A4D" w:rsidRPr="001B7636">
        <w:rPr>
          <w:rFonts w:eastAsia="Times New Roman" w:cs="Times New Roman"/>
        </w:rPr>
        <w:t>Rod Clouser</w:t>
      </w:r>
      <w:r w:rsidR="00286E75">
        <w:rPr>
          <w:rFonts w:eastAsia="Times New Roman" w:cs="Times New Roman"/>
        </w:rPr>
        <w:t xml:space="preserve">, </w:t>
      </w:r>
      <w:r w:rsidR="00286E75" w:rsidRPr="001B7636">
        <w:rPr>
          <w:rFonts w:eastAsia="Times New Roman" w:cs="Times New Roman"/>
        </w:rPr>
        <w:t>John VanSickle</w:t>
      </w:r>
    </w:p>
    <w:p w14:paraId="08DE8B33" w14:textId="77777777" w:rsidR="000D7C0C" w:rsidRPr="001B7636" w:rsidRDefault="000D7C0C" w:rsidP="003F57C5">
      <w:pPr>
        <w:tabs>
          <w:tab w:val="left" w:pos="1682"/>
          <w:tab w:val="center" w:pos="4680"/>
        </w:tabs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</w:rPr>
      </w:pPr>
    </w:p>
    <w:p w14:paraId="03B6D400" w14:textId="4DEEE9A2" w:rsidR="000A068E" w:rsidRPr="00606891" w:rsidRDefault="00645B84" w:rsidP="003F57C5">
      <w:pPr>
        <w:spacing w:after="0" w:line="240" w:lineRule="auto"/>
        <w:contextualSpacing/>
        <w:rPr>
          <w:rFonts w:eastAsia="Times New Roman" w:cs="Times New Roman"/>
        </w:rPr>
      </w:pPr>
      <w:r w:rsidRPr="00606891">
        <w:rPr>
          <w:rFonts w:eastAsia="Times New Roman" w:cs="Times New Roman"/>
        </w:rPr>
        <w:t>Starting with the 2015 crop year, p</w:t>
      </w:r>
      <w:r w:rsidR="00286E75" w:rsidRPr="00606891">
        <w:rPr>
          <w:rFonts w:eastAsia="Times New Roman" w:cs="Times New Roman"/>
        </w:rPr>
        <w:t xml:space="preserve">roducers </w:t>
      </w:r>
      <w:r w:rsidR="003D009C" w:rsidRPr="00606891">
        <w:rPr>
          <w:rFonts w:eastAsia="Times New Roman" w:cs="Times New Roman"/>
        </w:rPr>
        <w:t>that enrolled</w:t>
      </w:r>
      <w:r w:rsidR="00286E75" w:rsidRPr="00606891">
        <w:rPr>
          <w:rFonts w:eastAsia="Times New Roman" w:cs="Times New Roman"/>
        </w:rPr>
        <w:t xml:space="preserve"> in</w:t>
      </w:r>
      <w:r w:rsidR="003D009C" w:rsidRPr="00606891">
        <w:rPr>
          <w:rFonts w:eastAsia="Times New Roman" w:cs="Times New Roman"/>
        </w:rPr>
        <w:t xml:space="preserve"> Price Loss Coverage</w:t>
      </w:r>
      <w:r w:rsidR="00286E75" w:rsidRPr="00606891">
        <w:rPr>
          <w:rFonts w:eastAsia="Times New Roman" w:cs="Times New Roman"/>
        </w:rPr>
        <w:t xml:space="preserve"> </w:t>
      </w:r>
      <w:r w:rsidR="003D009C" w:rsidRPr="00606891">
        <w:rPr>
          <w:rFonts w:eastAsia="Times New Roman" w:cs="Times New Roman"/>
        </w:rPr>
        <w:t>(</w:t>
      </w:r>
      <w:r w:rsidR="00286E75" w:rsidRPr="00606891">
        <w:rPr>
          <w:rFonts w:eastAsia="Times New Roman" w:cs="Times New Roman"/>
          <w:b/>
        </w:rPr>
        <w:t>PLC</w:t>
      </w:r>
      <w:r w:rsidR="003D009C" w:rsidRPr="00606891">
        <w:rPr>
          <w:rFonts w:eastAsia="Times New Roman" w:cs="Times New Roman"/>
        </w:rPr>
        <w:t>)</w:t>
      </w:r>
      <w:r w:rsidR="00286E75" w:rsidRPr="00606891">
        <w:rPr>
          <w:rFonts w:eastAsia="Times New Roman" w:cs="Times New Roman"/>
        </w:rPr>
        <w:t>, and who also participate in the federal crop insurance program, may</w:t>
      </w:r>
      <w:r w:rsidRPr="00606891">
        <w:rPr>
          <w:rFonts w:eastAsia="Times New Roman" w:cs="Times New Roman"/>
        </w:rPr>
        <w:t xml:space="preserve"> p</w:t>
      </w:r>
      <w:r w:rsidR="00286E75" w:rsidRPr="00606891">
        <w:rPr>
          <w:rFonts w:eastAsia="Times New Roman" w:cs="Times New Roman"/>
        </w:rPr>
        <w:t xml:space="preserve">urchase additional crop insurance coverage called the </w:t>
      </w:r>
      <w:r w:rsidR="00286E75" w:rsidRPr="00606891">
        <w:rPr>
          <w:rFonts w:eastAsia="Times New Roman" w:cs="Times New Roman"/>
          <w:b/>
        </w:rPr>
        <w:t xml:space="preserve">Supplemental Coverage Option </w:t>
      </w:r>
      <w:r w:rsidR="00286E75" w:rsidRPr="00606891">
        <w:rPr>
          <w:rFonts w:eastAsia="Times New Roman" w:cs="Times New Roman"/>
        </w:rPr>
        <w:t>(</w:t>
      </w:r>
      <w:r w:rsidR="00286E75" w:rsidRPr="00606891">
        <w:rPr>
          <w:rFonts w:eastAsia="Times New Roman" w:cs="Times New Roman"/>
          <w:b/>
        </w:rPr>
        <w:t>SCO</w:t>
      </w:r>
      <w:r w:rsidR="00286E75" w:rsidRPr="00606891">
        <w:rPr>
          <w:rFonts w:eastAsia="Times New Roman" w:cs="Times New Roman"/>
        </w:rPr>
        <w:t xml:space="preserve">), </w:t>
      </w:r>
      <w:r w:rsidR="007A3494">
        <w:rPr>
          <w:rFonts w:eastAsia="Times New Roman" w:cs="Times New Roman"/>
        </w:rPr>
        <w:t>where</w:t>
      </w:r>
      <w:r w:rsidR="00286E75" w:rsidRPr="00606891">
        <w:rPr>
          <w:rFonts w:eastAsia="Times New Roman" w:cs="Times New Roman"/>
        </w:rPr>
        <w:t xml:space="preserve"> available. </w:t>
      </w:r>
    </w:p>
    <w:p w14:paraId="13D09DC4" w14:textId="77777777" w:rsidR="00606891" w:rsidRPr="00606891" w:rsidRDefault="00606891" w:rsidP="003F57C5">
      <w:pPr>
        <w:spacing w:after="0" w:line="240" w:lineRule="auto"/>
        <w:rPr>
          <w:rFonts w:eastAsia="Times New Roman" w:cs="Times New Roman"/>
        </w:rPr>
      </w:pPr>
    </w:p>
    <w:p w14:paraId="5B1D9593" w14:textId="3A1CF26B" w:rsidR="00606891" w:rsidRDefault="00606891" w:rsidP="003F57C5">
      <w:pPr>
        <w:spacing w:after="0" w:line="240" w:lineRule="auto"/>
        <w:rPr>
          <w:rFonts w:eastAsia="Times New Roman" w:cs="Times New Roman"/>
        </w:rPr>
      </w:pPr>
      <w:r w:rsidRPr="00606891">
        <w:rPr>
          <w:rFonts w:eastAsia="Times New Roman" w:cs="Times New Roman"/>
        </w:rPr>
        <w:t xml:space="preserve">Crops for which the producer has elected to receive Agriculture </w:t>
      </w:r>
      <w:r w:rsidRPr="00AD3E97">
        <w:rPr>
          <w:rFonts w:eastAsia="Times New Roman" w:cs="Times New Roman"/>
        </w:rPr>
        <w:t xml:space="preserve">Risk Coverage (ARC) </w:t>
      </w:r>
      <w:r w:rsidR="00AD3E97" w:rsidRPr="00AD3E97">
        <w:rPr>
          <w:rFonts w:eastAsia="Times New Roman" w:cs="Times New Roman"/>
        </w:rPr>
        <w:t xml:space="preserve">or </w:t>
      </w:r>
      <w:r w:rsidR="007E6BD3">
        <w:rPr>
          <w:rFonts w:eastAsia="Times New Roman" w:cs="Times New Roman"/>
        </w:rPr>
        <w:t xml:space="preserve">acres enrolled in </w:t>
      </w:r>
      <w:r w:rsidR="00AD3E97" w:rsidRPr="00AD3E97">
        <w:rPr>
          <w:rFonts w:eastAsia="Times New Roman" w:cs="Times New Roman"/>
        </w:rPr>
        <w:t xml:space="preserve">Stacked Income Protection Plan (STAX) </w:t>
      </w:r>
      <w:r w:rsidRPr="00AD3E97">
        <w:rPr>
          <w:rFonts w:eastAsia="Times New Roman" w:cs="Times New Roman"/>
        </w:rPr>
        <w:t xml:space="preserve">are </w:t>
      </w:r>
      <w:r w:rsidRPr="009D0D45">
        <w:rPr>
          <w:rFonts w:eastAsia="Times New Roman" w:cs="Times New Roman"/>
          <w:u w:val="single"/>
        </w:rPr>
        <w:t>not eligible</w:t>
      </w:r>
      <w:r w:rsidRPr="00606891">
        <w:rPr>
          <w:rFonts w:eastAsia="Times New Roman" w:cs="Times New Roman"/>
        </w:rPr>
        <w:t xml:space="preserve"> for SCO benefits.</w:t>
      </w:r>
    </w:p>
    <w:p w14:paraId="26D43A26" w14:textId="77777777" w:rsidR="00963537" w:rsidRPr="00AA740A" w:rsidRDefault="00963537" w:rsidP="003F57C5">
      <w:pPr>
        <w:spacing w:after="0" w:line="240" w:lineRule="auto"/>
        <w:rPr>
          <w:rFonts w:eastAsia="Times New Roman" w:cs="Times New Roman"/>
        </w:rPr>
      </w:pPr>
    </w:p>
    <w:p w14:paraId="6C72ABA3" w14:textId="228002E4" w:rsidR="00AA740A" w:rsidRPr="00963537" w:rsidRDefault="009D0D45" w:rsidP="003F57C5">
      <w:pPr>
        <w:spacing w:line="240" w:lineRule="auto"/>
        <w:rPr>
          <w:rFonts w:ascii="Times" w:eastAsia="Times New Roman" w:hAnsi="Times" w:cs="Times New Roman"/>
          <w:sz w:val="20"/>
          <w:szCs w:val="20"/>
        </w:rPr>
      </w:pPr>
      <w:r w:rsidRPr="00E33755">
        <w:rPr>
          <w:rFonts w:eastAsia="Times New Roman" w:cs="Times New Roman"/>
          <w:b/>
        </w:rPr>
        <w:t>SCO</w:t>
      </w:r>
      <w:r w:rsidRPr="00E33755">
        <w:rPr>
          <w:rFonts w:eastAsia="Times New Roman" w:cs="Times New Roman"/>
        </w:rPr>
        <w:t xml:space="preserve"> offers additional </w:t>
      </w:r>
      <w:r w:rsidRPr="00963537">
        <w:rPr>
          <w:rFonts w:eastAsia="Times New Roman" w:cs="Times New Roman"/>
          <w:b/>
        </w:rPr>
        <w:t>area-based</w:t>
      </w:r>
      <w:r w:rsidRPr="00E33755">
        <w:rPr>
          <w:rFonts w:eastAsia="Times New Roman" w:cs="Times New Roman"/>
        </w:rPr>
        <w:t xml:space="preserve"> insurance coverage</w:t>
      </w:r>
      <w:r w:rsidR="00AD3E97" w:rsidRPr="00E33755">
        <w:rPr>
          <w:rFonts w:eastAsia="Times New Roman" w:cs="Times New Roman"/>
        </w:rPr>
        <w:t xml:space="preserve">, rather than </w:t>
      </w:r>
      <w:r w:rsidR="007A3494">
        <w:rPr>
          <w:rFonts w:eastAsia="Times New Roman" w:cs="Times New Roman"/>
        </w:rPr>
        <w:t xml:space="preserve">coverage for </w:t>
      </w:r>
      <w:r w:rsidR="00AD3E97" w:rsidRPr="00E33755">
        <w:rPr>
          <w:rFonts w:eastAsia="Times New Roman" w:cs="Times New Roman"/>
        </w:rPr>
        <w:t>individual farm loss.  SCO is</w:t>
      </w:r>
      <w:r w:rsidRPr="00E33755">
        <w:rPr>
          <w:rFonts w:eastAsia="Times New Roman" w:cs="Times New Roman"/>
        </w:rPr>
        <w:t xml:space="preserve"> based on county average </w:t>
      </w:r>
      <w:r w:rsidRPr="00963537">
        <w:rPr>
          <w:rFonts w:eastAsia="Times New Roman" w:cs="Times New Roman"/>
          <w:b/>
        </w:rPr>
        <w:t>yield</w:t>
      </w:r>
      <w:r w:rsidRPr="00E33755">
        <w:rPr>
          <w:rFonts w:eastAsia="Times New Roman" w:cs="Times New Roman"/>
        </w:rPr>
        <w:t xml:space="preserve"> o</w:t>
      </w:r>
      <w:r w:rsidR="00AD3E97" w:rsidRPr="00E33755">
        <w:rPr>
          <w:rFonts w:eastAsia="Times New Roman" w:cs="Times New Roman"/>
        </w:rPr>
        <w:t xml:space="preserve">r </w:t>
      </w:r>
      <w:r w:rsidR="00AD3E97" w:rsidRPr="00963537">
        <w:rPr>
          <w:rFonts w:eastAsia="Times New Roman" w:cs="Times New Roman"/>
          <w:b/>
        </w:rPr>
        <w:t>revenue</w:t>
      </w:r>
      <w:r w:rsidR="00963537">
        <w:rPr>
          <w:rFonts w:eastAsia="Times New Roman" w:cs="Times New Roman"/>
        </w:rPr>
        <w:t xml:space="preserve">.  </w:t>
      </w:r>
      <w:r w:rsidR="00963537" w:rsidRPr="00963537">
        <w:rPr>
          <w:rFonts w:eastAsia="Times New Roman" w:cs="Times New Roman"/>
        </w:rPr>
        <w:t>The price protection offered by SCO is based on crop futures price</w:t>
      </w:r>
      <w:r w:rsidR="007A3494">
        <w:rPr>
          <w:rFonts w:eastAsia="Times New Roman" w:cs="Times New Roman"/>
        </w:rPr>
        <w:t>s</w:t>
      </w:r>
      <w:r w:rsidR="00963537" w:rsidRPr="00963537">
        <w:rPr>
          <w:rFonts w:eastAsia="Times New Roman" w:cs="Times New Roman"/>
        </w:rPr>
        <w:t xml:space="preserve"> within the crop year.</w:t>
      </w:r>
      <w:r w:rsidR="006D2899" w:rsidRPr="00E33755">
        <w:rPr>
          <w:rFonts w:eastAsia="Times New Roman" w:cs="Times New Roman"/>
        </w:rPr>
        <w:t xml:space="preserve"> </w:t>
      </w:r>
      <w:r w:rsidR="006D2899">
        <w:rPr>
          <w:rFonts w:eastAsia="Times New Roman" w:cs="Times New Roman"/>
        </w:rPr>
        <w:t xml:space="preserve"> </w:t>
      </w:r>
      <w:r w:rsidR="00AD3E97" w:rsidRPr="00E33755">
        <w:rPr>
          <w:rFonts w:eastAsia="Times New Roman" w:cs="Times New Roman"/>
        </w:rPr>
        <w:t xml:space="preserve">Thus, the closer a producer’s farm yields and revenues are to county averages, the better the fit of SCO coverage. </w:t>
      </w:r>
      <w:r w:rsidR="00AA740A">
        <w:rPr>
          <w:rFonts w:eastAsia="Times New Roman" w:cs="Times New Roman"/>
        </w:rPr>
        <w:t xml:space="preserve"> </w:t>
      </w:r>
    </w:p>
    <w:p w14:paraId="4E5A0C66" w14:textId="3EFAD70B" w:rsidR="006D78EF" w:rsidRPr="006D78EF" w:rsidRDefault="006D78EF" w:rsidP="003F57C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D78EF">
        <w:rPr>
          <w:rFonts w:eastAsia="Times New Roman" w:cs="Times New Roman"/>
        </w:rPr>
        <w:t xml:space="preserve">SCO is available, starting with the 2015 crop year, in </w:t>
      </w:r>
      <w:r w:rsidRPr="00963537">
        <w:rPr>
          <w:rFonts w:eastAsia="Times New Roman" w:cs="Times New Roman"/>
          <w:u w:val="single"/>
        </w:rPr>
        <w:t>select counties for spring barley, corn, soybeans, wheat, sorghum, cotton, and rice</w:t>
      </w:r>
      <w:r>
        <w:rPr>
          <w:rFonts w:eastAsia="Times New Roman" w:cs="Times New Roman"/>
        </w:rPr>
        <w:t xml:space="preserve">.  </w:t>
      </w:r>
      <w:r w:rsidRPr="006D78EF">
        <w:rPr>
          <w:rFonts w:eastAsia="Times New Roman" w:cs="Times New Roman"/>
        </w:rPr>
        <w:t xml:space="preserve">Starting with the 2016 crop year, </w:t>
      </w:r>
      <w:r>
        <w:rPr>
          <w:rFonts w:eastAsia="Times New Roman" w:cs="Times New Roman"/>
        </w:rPr>
        <w:t>the Risk Management Agency (</w:t>
      </w:r>
      <w:r w:rsidRPr="006D78EF">
        <w:rPr>
          <w:rFonts w:eastAsia="Times New Roman" w:cs="Times New Roman"/>
        </w:rPr>
        <w:t>RMA</w:t>
      </w:r>
      <w:r>
        <w:rPr>
          <w:rFonts w:eastAsia="Times New Roman" w:cs="Times New Roman"/>
        </w:rPr>
        <w:t>)</w:t>
      </w:r>
      <w:r w:rsidRPr="006D78EF">
        <w:rPr>
          <w:rFonts w:eastAsia="Times New Roman" w:cs="Times New Roman"/>
        </w:rPr>
        <w:t xml:space="preserve"> will be making greater use of crop insurance data to expand SCO coverage into more areas, more crops, and to make SCO coverage more practice-specific.</w:t>
      </w:r>
    </w:p>
    <w:p w14:paraId="05F370AD" w14:textId="32AEC2F8" w:rsidR="00C70345" w:rsidRDefault="00AA740A" w:rsidP="003F57C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0D7">
        <w:rPr>
          <w:rFonts w:eastAsia="Times New Roman" w:cs="Times New Roman"/>
        </w:rPr>
        <w:t xml:space="preserve">This is </w:t>
      </w:r>
      <w:r w:rsidRPr="00AD08D6">
        <w:rPr>
          <w:rFonts w:eastAsia="Times New Roman" w:cs="Times New Roman"/>
          <w:u w:val="single"/>
        </w:rPr>
        <w:t xml:space="preserve">not </w:t>
      </w:r>
      <w:r w:rsidR="007A3494">
        <w:rPr>
          <w:rFonts w:eastAsia="Times New Roman" w:cs="Times New Roman"/>
          <w:u w:val="single"/>
        </w:rPr>
        <w:t xml:space="preserve">a </w:t>
      </w:r>
      <w:r w:rsidRPr="00AD08D6">
        <w:rPr>
          <w:rFonts w:eastAsia="Times New Roman" w:cs="Times New Roman"/>
          <w:u w:val="single"/>
        </w:rPr>
        <w:t>stand-alone policy</w:t>
      </w:r>
      <w:r>
        <w:rPr>
          <w:rFonts w:eastAsia="Times New Roman" w:cs="Times New Roman"/>
        </w:rPr>
        <w:t xml:space="preserve"> and is</w:t>
      </w:r>
      <w:r w:rsidRPr="005C60D7">
        <w:rPr>
          <w:rFonts w:eastAsia="Times New Roman" w:cs="Times New Roman"/>
        </w:rPr>
        <w:t xml:space="preserve"> based on expected county yields or revenue, to cover part of the </w:t>
      </w:r>
      <w:r w:rsidRPr="00E33755">
        <w:rPr>
          <w:rFonts w:eastAsia="Times New Roman" w:cs="Times New Roman"/>
        </w:rPr>
        <w:t>deductible under the producer’</w:t>
      </w:r>
      <w:r>
        <w:rPr>
          <w:rFonts w:eastAsia="Times New Roman" w:cs="Times New Roman"/>
        </w:rPr>
        <w:t xml:space="preserve">s </w:t>
      </w:r>
      <w:r w:rsidR="007A3494">
        <w:rPr>
          <w:rFonts w:eastAsia="Times New Roman" w:cs="Times New Roman"/>
        </w:rPr>
        <w:t xml:space="preserve">companion </w:t>
      </w:r>
      <w:r>
        <w:rPr>
          <w:rFonts w:eastAsia="Times New Roman" w:cs="Times New Roman"/>
        </w:rPr>
        <w:t xml:space="preserve">underlying insurance policy, which could be </w:t>
      </w:r>
      <w:r w:rsidR="007A3494">
        <w:rPr>
          <w:rFonts w:eastAsia="Times New Roman" w:cs="Times New Roman"/>
        </w:rPr>
        <w:t xml:space="preserve">for </w:t>
      </w:r>
      <w:r w:rsidR="002A4CE6">
        <w:rPr>
          <w:rFonts w:eastAsia="Times New Roman" w:cs="Times New Roman"/>
        </w:rPr>
        <w:t>Yield Protection (YP</w:t>
      </w:r>
      <w:r>
        <w:rPr>
          <w:rFonts w:eastAsia="Times New Roman" w:cs="Times New Roman"/>
        </w:rPr>
        <w:t xml:space="preserve">), Revenue Protection (RP), or Revenue Protection with the Harvest Price Exclusion (RPHPE). </w:t>
      </w:r>
      <w:r w:rsidR="00963537">
        <w:rPr>
          <w:rFonts w:eastAsia="Times New Roman" w:cs="Times New Roman"/>
        </w:rPr>
        <w:t xml:space="preserve">  </w:t>
      </w:r>
    </w:p>
    <w:p w14:paraId="17B5287F" w14:textId="757A7A42" w:rsidR="00C70345" w:rsidRDefault="00963537" w:rsidP="003F57C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63537">
        <w:rPr>
          <w:rFonts w:eastAsia="Times New Roman" w:cs="Times New Roman"/>
        </w:rPr>
        <w:t>SCO mimics the coverage offered by the producer's individual insurance plan. If you choose YP, then SCO covers yield loss</w:t>
      </w:r>
      <w:r w:rsidR="007A3494">
        <w:rPr>
          <w:rFonts w:eastAsia="Times New Roman" w:cs="Times New Roman"/>
        </w:rPr>
        <w:t xml:space="preserve"> within the deductible of the underlying crop policy</w:t>
      </w:r>
      <w:r w:rsidRPr="00963537">
        <w:rPr>
          <w:rFonts w:eastAsia="Times New Roman" w:cs="Times New Roman"/>
        </w:rPr>
        <w:t>. If you choose RP, then SCO covers revenue loss.</w:t>
      </w:r>
      <w:r w:rsidR="00C70345">
        <w:rPr>
          <w:rFonts w:eastAsia="Times New Roman" w:cs="Times New Roman"/>
        </w:rPr>
        <w:t xml:space="preserve">  </w:t>
      </w:r>
      <w:r w:rsidR="00AD08D6">
        <w:rPr>
          <w:rFonts w:eastAsia="Times New Roman" w:cs="Times New Roman"/>
        </w:rPr>
        <w:t xml:space="preserve">It is important to understand that the amount of SCO coverage provided is dependent on the liability, </w:t>
      </w:r>
      <w:r w:rsidR="00AD08D6" w:rsidRPr="00AD08D6">
        <w:rPr>
          <w:rFonts w:eastAsia="Times New Roman" w:cs="Times New Roman"/>
        </w:rPr>
        <w:t>coverage level, and approved yield for your underlying</w:t>
      </w:r>
      <w:r w:rsidR="00AD08D6">
        <w:rPr>
          <w:rFonts w:eastAsia="Times New Roman" w:cs="Times New Roman"/>
        </w:rPr>
        <w:t xml:space="preserve"> </w:t>
      </w:r>
      <w:r w:rsidR="00AD08D6" w:rsidRPr="00AD08D6">
        <w:rPr>
          <w:rFonts w:eastAsia="Times New Roman" w:cs="Times New Roman"/>
        </w:rPr>
        <w:t xml:space="preserve">policy. </w:t>
      </w:r>
    </w:p>
    <w:p w14:paraId="49AF5857" w14:textId="6047F92E" w:rsidR="00E33755" w:rsidRPr="00C70345" w:rsidRDefault="00AD08D6" w:rsidP="003F57C5">
      <w:pPr>
        <w:spacing w:after="0" w:line="240" w:lineRule="auto"/>
        <w:rPr>
          <w:rFonts w:eastAsia="Times New Roman" w:cs="Times New Roman"/>
        </w:rPr>
      </w:pPr>
      <w:r w:rsidRPr="00AD08D6">
        <w:rPr>
          <w:rFonts w:eastAsia="Times New Roman" w:cs="Times New Roman"/>
        </w:rPr>
        <w:t xml:space="preserve">However, </w:t>
      </w:r>
      <w:r w:rsidR="00C70345" w:rsidRPr="009D5D36">
        <w:rPr>
          <w:rFonts w:eastAsia="Times New Roman" w:cs="Times New Roman"/>
        </w:rPr>
        <w:t>a</w:t>
      </w:r>
      <w:r w:rsidR="00C70345" w:rsidRPr="009D5D36">
        <w:rPr>
          <w:rFonts w:eastAsia="Times New Roman" w:cs="Times New Roman"/>
          <w:b/>
        </w:rPr>
        <w:t xml:space="preserve"> </w:t>
      </w:r>
      <w:r w:rsidRPr="009D5D36">
        <w:rPr>
          <w:rFonts w:eastAsia="Times New Roman" w:cs="Times New Roman"/>
          <w:b/>
        </w:rPr>
        <w:t>payment</w:t>
      </w:r>
      <w:r w:rsidRPr="00AD08D6">
        <w:rPr>
          <w:rFonts w:eastAsia="Times New Roman" w:cs="Times New Roman"/>
        </w:rPr>
        <w:t xml:space="preserve"> is </w:t>
      </w:r>
      <w:r w:rsidR="00C92E99">
        <w:rPr>
          <w:rFonts w:eastAsia="Times New Roman" w:cs="Times New Roman"/>
        </w:rPr>
        <w:t xml:space="preserve">only </w:t>
      </w:r>
      <w:r w:rsidRPr="00AD08D6">
        <w:rPr>
          <w:rFonts w:eastAsia="Times New Roman" w:cs="Times New Roman"/>
        </w:rPr>
        <w:t xml:space="preserve">triggered </w:t>
      </w:r>
      <w:r w:rsidR="007A3494">
        <w:rPr>
          <w:rFonts w:eastAsia="Times New Roman" w:cs="Times New Roman"/>
        </w:rPr>
        <w:t xml:space="preserve">for SCO coverage </w:t>
      </w:r>
      <w:r w:rsidRPr="00AD08D6">
        <w:rPr>
          <w:rFonts w:eastAsia="Times New Roman" w:cs="Times New Roman"/>
        </w:rPr>
        <w:t>on an area basis when there is a county level loss in</w:t>
      </w:r>
      <w:r>
        <w:rPr>
          <w:rFonts w:eastAsia="Times New Roman" w:cs="Times New Roman"/>
        </w:rPr>
        <w:t xml:space="preserve"> </w:t>
      </w:r>
      <w:r w:rsidRPr="00AD08D6">
        <w:rPr>
          <w:rFonts w:eastAsia="Times New Roman" w:cs="Times New Roman"/>
        </w:rPr>
        <w:t>yield or revenue.</w:t>
      </w:r>
      <w:r w:rsidR="00C70345">
        <w:rPr>
          <w:rFonts w:eastAsia="Times New Roman" w:cs="Times New Roman"/>
        </w:rPr>
        <w:t xml:space="preserve"> Thus, </w:t>
      </w:r>
      <w:r w:rsidR="00C70345" w:rsidRPr="00C70345">
        <w:rPr>
          <w:rFonts w:eastAsia="Times New Roman" w:cs="Times New Roman"/>
        </w:rPr>
        <w:t>it is possible that a producer will experience an individual loss but not receive an SCO payment, or the other way around it.</w:t>
      </w:r>
      <w:r w:rsidR="00C70345">
        <w:rPr>
          <w:rFonts w:eastAsia="Times New Roman" w:cs="Times New Roman"/>
        </w:rPr>
        <w:t xml:space="preserve">  If you would like an example of how SCO payments are calculated, please refer to the </w:t>
      </w:r>
      <w:hyperlink r:id="rId8" w:history="1">
        <w:r w:rsidR="00C70345" w:rsidRPr="00111756">
          <w:rPr>
            <w:rStyle w:val="Hyperlink"/>
            <w:rFonts w:eastAsia="Times New Roman" w:cs="Times New Roman"/>
          </w:rPr>
          <w:t>USDA RMA SCO Fact Sheet</w:t>
        </w:r>
      </w:hyperlink>
      <w:r w:rsidR="00C70345">
        <w:rPr>
          <w:rFonts w:eastAsia="Times New Roman" w:cs="Times New Roman"/>
        </w:rPr>
        <w:t>.</w:t>
      </w:r>
    </w:p>
    <w:p w14:paraId="321CD9AA" w14:textId="20BC8553" w:rsidR="00E33755" w:rsidRDefault="00E33755" w:rsidP="003F57C5">
      <w:pPr>
        <w:spacing w:before="100" w:beforeAutospacing="1" w:after="100" w:afterAutospacing="1" w:line="240" w:lineRule="auto"/>
        <w:rPr>
          <w:rFonts w:eastAsia="Times New Roman" w:cs="Times New Roman"/>
          <w:color w:val="008000"/>
        </w:rPr>
      </w:pPr>
      <w:r>
        <w:rPr>
          <w:rFonts w:eastAsia="Times New Roman" w:cs="Times New Roman"/>
        </w:rPr>
        <w:t xml:space="preserve">The </w:t>
      </w:r>
      <w:r w:rsidR="006D78EF">
        <w:rPr>
          <w:rFonts w:eastAsia="Times New Roman" w:cs="Times New Roman"/>
        </w:rPr>
        <w:t>RMA</w:t>
      </w:r>
      <w:r>
        <w:rPr>
          <w:rFonts w:eastAsia="Times New Roman" w:cs="Times New Roman"/>
        </w:rPr>
        <w:t xml:space="preserve"> administers SCO</w:t>
      </w:r>
      <w:r w:rsidR="00606891" w:rsidRPr="005C60D7">
        <w:rPr>
          <w:rFonts w:eastAsia="Times New Roman" w:cs="Times New Roman"/>
        </w:rPr>
        <w:t xml:space="preserve"> and therefore </w:t>
      </w:r>
      <w:r w:rsidR="00606891" w:rsidRPr="00E33755">
        <w:rPr>
          <w:rFonts w:eastAsia="Times New Roman" w:cs="Times New Roman"/>
        </w:rPr>
        <w:t xml:space="preserve">payments received under SCO do not count towards the </w:t>
      </w:r>
      <w:r w:rsidR="007A3494">
        <w:rPr>
          <w:rFonts w:eastAsia="Times New Roman" w:cs="Times New Roman"/>
        </w:rPr>
        <w:t xml:space="preserve">FSA </w:t>
      </w:r>
      <w:r w:rsidR="00606891" w:rsidRPr="00E33755">
        <w:rPr>
          <w:rFonts w:eastAsia="Times New Roman" w:cs="Times New Roman"/>
        </w:rPr>
        <w:t>payment cap of $125,000.</w:t>
      </w:r>
      <w:r w:rsidR="00AD3E97" w:rsidRPr="00E33755">
        <w:rPr>
          <w:rFonts w:eastAsia="Times New Roman" w:cs="Times New Roman"/>
        </w:rPr>
        <w:t xml:space="preserve">  </w:t>
      </w:r>
      <w:r w:rsidR="00A76532" w:rsidRPr="00E33755">
        <w:rPr>
          <w:rFonts w:eastAsia="Times New Roman" w:cs="Times New Roman"/>
        </w:rPr>
        <w:t xml:space="preserve">Also, </w:t>
      </w:r>
      <w:r w:rsidR="00AD3E97" w:rsidRPr="00E33755">
        <w:rPr>
          <w:rFonts w:eastAsia="Times New Roman" w:cs="Times New Roman"/>
        </w:rPr>
        <w:t>SCO is not subject to</w:t>
      </w:r>
      <w:r w:rsidR="00AD3E97">
        <w:rPr>
          <w:rFonts w:eastAsia="Times New Roman" w:cs="Times New Roman"/>
        </w:rPr>
        <w:t xml:space="preserve"> payment limitations</w:t>
      </w:r>
      <w:r w:rsidR="002A4CE6">
        <w:rPr>
          <w:rFonts w:eastAsia="Times New Roman" w:cs="Times New Roman"/>
        </w:rPr>
        <w:t xml:space="preserve"> or adjusted gross income (AGI) </w:t>
      </w:r>
      <w:bookmarkStart w:id="0" w:name="_GoBack"/>
      <w:bookmarkEnd w:id="0"/>
      <w:r w:rsidR="00AD3E97">
        <w:rPr>
          <w:rFonts w:eastAsia="Times New Roman" w:cs="Times New Roman"/>
        </w:rPr>
        <w:t xml:space="preserve">eligibility limits. </w:t>
      </w:r>
    </w:p>
    <w:p w14:paraId="5DD8F447" w14:textId="08858627" w:rsidR="003F57C5" w:rsidRPr="003F57C5" w:rsidRDefault="00941E14" w:rsidP="003F57C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0D7">
        <w:rPr>
          <w:rFonts w:eastAsia="Times New Roman" w:cs="Times New Roman"/>
        </w:rPr>
        <w:t xml:space="preserve">Producers will have until the end of the </w:t>
      </w:r>
      <w:r w:rsidR="003F57C5" w:rsidRPr="005C60D7">
        <w:rPr>
          <w:rFonts w:eastAsia="Times New Roman" w:cs="Times New Roman"/>
        </w:rPr>
        <w:t>summer</w:t>
      </w:r>
      <w:r w:rsidRPr="005C60D7">
        <w:rPr>
          <w:rFonts w:eastAsia="Times New Roman" w:cs="Times New Roman"/>
        </w:rPr>
        <w:t xml:space="preserve"> to purchase SCO. </w:t>
      </w:r>
      <w:r w:rsidR="00AA740A" w:rsidRPr="00E33755">
        <w:rPr>
          <w:rFonts w:eastAsia="Times New Roman" w:cs="Times New Roman"/>
        </w:rPr>
        <w:t>The program provides subsidies to producers of 65% of their premiums.</w:t>
      </w:r>
      <w:r w:rsidR="00AA740A">
        <w:rPr>
          <w:rFonts w:eastAsia="Times New Roman" w:cs="Times New Roman"/>
          <w:color w:val="008000"/>
        </w:rPr>
        <w:t xml:space="preserve">  </w:t>
      </w:r>
      <w:r w:rsidR="00AA740A">
        <w:rPr>
          <w:rFonts w:eastAsia="Times New Roman" w:cs="Times New Roman"/>
        </w:rPr>
        <w:t xml:space="preserve">This </w:t>
      </w:r>
      <w:r>
        <w:rPr>
          <w:rFonts w:eastAsia="Times New Roman" w:cs="Times New Roman"/>
        </w:rPr>
        <w:t xml:space="preserve">is </w:t>
      </w:r>
      <w:r w:rsidR="00536014">
        <w:rPr>
          <w:rFonts w:eastAsia="Times New Roman" w:cs="Times New Roman"/>
        </w:rPr>
        <w:t xml:space="preserve">an </w:t>
      </w:r>
      <w:r>
        <w:rPr>
          <w:rFonts w:eastAsia="Times New Roman" w:cs="Times New Roman"/>
        </w:rPr>
        <w:t>annual</w:t>
      </w:r>
      <w:r w:rsidR="00536014">
        <w:rPr>
          <w:rFonts w:eastAsia="Times New Roman" w:cs="Times New Roman"/>
        </w:rPr>
        <w:t xml:space="preserve"> policy</w:t>
      </w:r>
      <w:r>
        <w:rPr>
          <w:rFonts w:eastAsia="Times New Roman" w:cs="Times New Roman"/>
        </w:rPr>
        <w:t xml:space="preserve"> and</w:t>
      </w:r>
      <w:r w:rsidR="002373E0">
        <w:rPr>
          <w:rFonts w:eastAsia="Times New Roman" w:cs="Times New Roman"/>
        </w:rPr>
        <w:t xml:space="preserve"> p</w:t>
      </w:r>
      <w:r w:rsidR="002373E0" w:rsidRPr="00605732">
        <w:rPr>
          <w:rFonts w:eastAsia="Times New Roman" w:cs="Times New Roman"/>
        </w:rPr>
        <w:t xml:space="preserve">roducers must </w:t>
      </w:r>
      <w:r w:rsidR="00605732" w:rsidRPr="00605732">
        <w:rPr>
          <w:rFonts w:eastAsia="Times New Roman" w:cs="Times New Roman"/>
        </w:rPr>
        <w:t>contact</w:t>
      </w:r>
      <w:r w:rsidR="00A528E1">
        <w:rPr>
          <w:rFonts w:eastAsia="Times New Roman" w:cs="Times New Roman"/>
        </w:rPr>
        <w:t xml:space="preserve"> crop insurance agents </w:t>
      </w:r>
      <w:r w:rsidR="002373E0" w:rsidRPr="00605732">
        <w:rPr>
          <w:rFonts w:eastAsia="Times New Roman" w:cs="Times New Roman"/>
        </w:rPr>
        <w:t>by the application closing date</w:t>
      </w:r>
      <w:r w:rsidR="00536014">
        <w:rPr>
          <w:rFonts w:eastAsia="Times New Roman" w:cs="Times New Roman"/>
        </w:rPr>
        <w:t xml:space="preserve"> each year</w:t>
      </w:r>
      <w:r w:rsidR="00A528E1">
        <w:rPr>
          <w:rFonts w:eastAsia="Times New Roman" w:cs="Times New Roman"/>
        </w:rPr>
        <w:t>.</w:t>
      </w:r>
      <w:r w:rsidR="00AA740A">
        <w:rPr>
          <w:rFonts w:eastAsia="Times New Roman" w:cs="Times New Roman"/>
        </w:rPr>
        <w:t xml:space="preserve"> </w:t>
      </w:r>
      <w:r w:rsidR="002373E0" w:rsidRPr="00E33755">
        <w:rPr>
          <w:rFonts w:eastAsia="Times New Roman" w:cs="Times New Roman"/>
          <w:b/>
        </w:rPr>
        <w:t>Application closing dates vary by crop and area.</w:t>
      </w:r>
      <w:r w:rsidR="00605732" w:rsidRPr="00E33755">
        <w:rPr>
          <w:rFonts w:eastAsia="Times New Roman" w:cs="Times New Roman"/>
          <w:b/>
        </w:rPr>
        <w:t xml:space="preserve">  </w:t>
      </w:r>
      <w:r w:rsidR="00A528E1">
        <w:rPr>
          <w:rFonts w:eastAsia="Times New Roman" w:cs="Times New Roman"/>
        </w:rPr>
        <w:t xml:space="preserve">Contact the </w:t>
      </w:r>
      <w:hyperlink r:id="rId9" w:history="1">
        <w:r w:rsidR="00A528E1" w:rsidRPr="00A528E1">
          <w:rPr>
            <w:rStyle w:val="Hyperlink"/>
            <w:rFonts w:eastAsia="Times New Roman" w:cs="Times New Roman"/>
          </w:rPr>
          <w:t>RMA Regional Office</w:t>
        </w:r>
      </w:hyperlink>
      <w:r w:rsidR="00A528E1">
        <w:rPr>
          <w:rFonts w:eastAsia="Times New Roman" w:cs="Times New Roman"/>
        </w:rPr>
        <w:t xml:space="preserve"> </w:t>
      </w:r>
      <w:r w:rsidR="00B057C7">
        <w:rPr>
          <w:rFonts w:eastAsia="Times New Roman" w:cs="Times New Roman"/>
        </w:rPr>
        <w:t>or</w:t>
      </w:r>
      <w:r w:rsidR="00A528E1">
        <w:rPr>
          <w:rFonts w:eastAsia="Times New Roman" w:cs="Times New Roman"/>
        </w:rPr>
        <w:t xml:space="preserve"> find </w:t>
      </w:r>
      <w:hyperlink r:id="rId10" w:history="1">
        <w:r w:rsidR="00A528E1" w:rsidRPr="00A528E1">
          <w:rPr>
            <w:rStyle w:val="Hyperlink"/>
            <w:rFonts w:eastAsia="Times New Roman" w:cs="Times New Roman"/>
          </w:rPr>
          <w:t>here</w:t>
        </w:r>
      </w:hyperlink>
      <w:r w:rsidR="00A528E1">
        <w:rPr>
          <w:rFonts w:eastAsia="Times New Roman" w:cs="Times New Roman"/>
        </w:rPr>
        <w:t xml:space="preserve"> a list of crop insurance agents. </w:t>
      </w:r>
    </w:p>
    <w:p w14:paraId="3AF21E45" w14:textId="72755BF6" w:rsidR="002E3788" w:rsidRDefault="002E3788" w:rsidP="003F57C5">
      <w:pPr>
        <w:spacing w:after="60" w:line="240" w:lineRule="auto"/>
        <w:contextualSpacing/>
        <w:rPr>
          <w:b/>
        </w:rPr>
      </w:pPr>
      <w:r>
        <w:t xml:space="preserve">Have any questions or concerns? </w:t>
      </w:r>
      <w:r>
        <w:rPr>
          <w:b/>
        </w:rPr>
        <w:t>Contact us!</w:t>
      </w:r>
    </w:p>
    <w:p w14:paraId="05783321" w14:textId="77777777" w:rsidR="00B057C7" w:rsidRPr="00A84943" w:rsidRDefault="00B057C7" w:rsidP="003F57C5">
      <w:pPr>
        <w:spacing w:after="60" w:line="240" w:lineRule="auto"/>
        <w:contextualSpacing/>
        <w:rPr>
          <w:b/>
        </w:rPr>
      </w:pPr>
    </w:p>
    <w:p w14:paraId="75800226" w14:textId="77777777" w:rsidR="002E3788" w:rsidRDefault="002E3788" w:rsidP="003F57C5">
      <w:pPr>
        <w:spacing w:after="60" w:line="240" w:lineRule="auto"/>
        <w:contextualSpacing/>
        <w:rPr>
          <w:rStyle w:val="Hyperlink"/>
          <w:color w:val="auto"/>
          <w:u w:val="none"/>
        </w:rPr>
      </w:pPr>
      <w:r>
        <w:t>John VanSickle (</w:t>
      </w:r>
      <w:hyperlink r:id="rId11" w:history="1">
        <w:r w:rsidRPr="00122ED7">
          <w:rPr>
            <w:rStyle w:val="Hyperlink"/>
          </w:rPr>
          <w:t>sickle@ufl.edu</w:t>
        </w:r>
      </w:hyperlink>
      <w:r>
        <w:t>)</w:t>
      </w:r>
      <w:proofErr w:type="gramStart"/>
      <w:r>
        <w:t>;  Rod</w:t>
      </w:r>
      <w:proofErr w:type="gramEnd"/>
      <w:r>
        <w:t xml:space="preserve"> Clouser (</w:t>
      </w:r>
      <w:hyperlink r:id="rId12" w:history="1">
        <w:r w:rsidRPr="00A67859">
          <w:rPr>
            <w:rStyle w:val="Hyperlink"/>
          </w:rPr>
          <w:t>rclouser@ufl.edu</w:t>
        </w:r>
      </w:hyperlink>
      <w:r>
        <w:t xml:space="preserve">);  </w:t>
      </w:r>
      <w:r w:rsidRPr="00C83529">
        <w:rPr>
          <w:rStyle w:val="Hyperlink"/>
          <w:color w:val="auto"/>
          <w:u w:val="none"/>
        </w:rPr>
        <w:t>Marina Arouca</w:t>
      </w:r>
      <w:r>
        <w:rPr>
          <w:rStyle w:val="Hyperlink"/>
          <w:color w:val="auto"/>
          <w:u w:val="none"/>
        </w:rPr>
        <w:t xml:space="preserve"> (</w:t>
      </w:r>
      <w:hyperlink r:id="rId13" w:history="1">
        <w:r w:rsidRPr="00A67859">
          <w:rPr>
            <w:rStyle w:val="Hyperlink"/>
          </w:rPr>
          <w:t>arouca@ufl.edu</w:t>
        </w:r>
      </w:hyperlink>
      <w:r>
        <w:rPr>
          <w:rStyle w:val="Hyperlink"/>
          <w:color w:val="auto"/>
          <w:u w:val="none"/>
        </w:rPr>
        <w:t>).</w:t>
      </w:r>
    </w:p>
    <w:p w14:paraId="4ADF57C7" w14:textId="77777777" w:rsidR="002E3788" w:rsidRPr="006949EF" w:rsidRDefault="002E3788" w:rsidP="003F57C5">
      <w:pPr>
        <w:spacing w:line="240" w:lineRule="auto"/>
        <w:contextualSpacing/>
        <w:rPr>
          <w:rStyle w:val="Hyperlink"/>
          <w:color w:val="auto"/>
          <w:sz w:val="10"/>
          <w:u w:val="none"/>
        </w:rPr>
      </w:pPr>
    </w:p>
    <w:p w14:paraId="2BA32A41" w14:textId="4DF58EF1" w:rsidR="000A08BE" w:rsidRDefault="002E3788" w:rsidP="003F57C5">
      <w:pPr>
        <w:spacing w:line="240" w:lineRule="auto"/>
        <w:contextualSpacing/>
      </w:pPr>
      <w:r>
        <w:rPr>
          <w:rStyle w:val="Hyperlink"/>
          <w:b/>
          <w:color w:val="auto"/>
          <w:u w:val="none"/>
        </w:rPr>
        <w:t>Visit our website</w:t>
      </w:r>
      <w:r>
        <w:rPr>
          <w:rStyle w:val="Hyperlink"/>
          <w:color w:val="auto"/>
          <w:u w:val="none"/>
        </w:rPr>
        <w:t xml:space="preserve">: 2014 Farm Bill Education Program </w:t>
      </w:r>
      <w:r w:rsidRPr="006949EF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(</w:t>
      </w:r>
      <w:hyperlink r:id="rId14" w:history="1">
        <w:r w:rsidRPr="006949EF">
          <w:rPr>
            <w:rStyle w:val="Hyperlink"/>
          </w:rPr>
          <w:t>fred.ifas.ufl.edu/</w:t>
        </w:r>
        <w:proofErr w:type="spellStart"/>
        <w:r w:rsidRPr="006949EF">
          <w:rPr>
            <w:rStyle w:val="Hyperlink"/>
          </w:rPr>
          <w:t>FarmBill</w:t>
        </w:r>
        <w:proofErr w:type="spellEnd"/>
      </w:hyperlink>
      <w:r>
        <w:rPr>
          <w:rStyle w:val="Hyperlink"/>
          <w:color w:val="auto"/>
        </w:rPr>
        <w:t>)</w:t>
      </w:r>
    </w:p>
    <w:sectPr w:rsidR="000A08BE" w:rsidSect="0046367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304" w:right="1304" w:bottom="1304" w:left="1304" w:header="1009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4CB9A" w14:textId="77777777" w:rsidR="00A31394" w:rsidRDefault="00A31394">
      <w:pPr>
        <w:spacing w:after="0" w:line="240" w:lineRule="auto"/>
      </w:pPr>
      <w:r>
        <w:separator/>
      </w:r>
    </w:p>
  </w:endnote>
  <w:endnote w:type="continuationSeparator" w:id="0">
    <w:p w14:paraId="68B9D146" w14:textId="77777777" w:rsidR="00A31394" w:rsidRDefault="00A3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BF4DD" w14:textId="0C37312A" w:rsidR="00EF6D96" w:rsidRDefault="00EF6D9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EC8B4F" wp14:editId="28541C53">
          <wp:simplePos x="0" y="0"/>
          <wp:positionH relativeFrom="margin">
            <wp:posOffset>1600200</wp:posOffset>
          </wp:positionH>
          <wp:positionV relativeFrom="margin">
            <wp:posOffset>8390890</wp:posOffset>
          </wp:positionV>
          <wp:extent cx="2711450" cy="406400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SExt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45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rPr>
        <w:noProof/>
      </w:rPr>
      <w:t xml:space="preserve">  </w:t>
    </w:r>
    <w:r>
      <w:t xml:space="preserve">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C3700" w14:textId="2D1B8525" w:rsidR="00EF6D96" w:rsidRDefault="00EF6D96" w:rsidP="004277A4">
    <w:pPr>
      <w:pStyle w:val="Footer"/>
      <w:jc w:val="center"/>
    </w:pPr>
    <w:r>
      <w:rPr>
        <w:noProof/>
      </w:rPr>
      <w:drawing>
        <wp:inline distT="0" distB="0" distL="0" distR="0" wp14:anchorId="13CFB9E1" wp14:editId="294C9E6A">
          <wp:extent cx="2711860" cy="406895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SExt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860" cy="40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B11AB" w14:textId="77777777" w:rsidR="00A31394" w:rsidRDefault="00A31394">
      <w:pPr>
        <w:spacing w:after="0" w:line="240" w:lineRule="auto"/>
      </w:pPr>
      <w:r>
        <w:separator/>
      </w:r>
    </w:p>
  </w:footnote>
  <w:footnote w:type="continuationSeparator" w:id="0">
    <w:p w14:paraId="1C8CEA6B" w14:textId="77777777" w:rsidR="00A31394" w:rsidRDefault="00A3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108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A88260" w14:textId="77777777" w:rsidR="00EF6D96" w:rsidRDefault="00EF6D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E6C3A" w14:textId="77777777" w:rsidR="00EF6D96" w:rsidRDefault="00EF6D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12A71" w14:textId="0605EA17" w:rsidR="00EF6D96" w:rsidRDefault="00EF6D96" w:rsidP="00DA73D5">
    <w:pPr>
      <w:pStyle w:val="Header"/>
      <w:jc w:val="center"/>
    </w:pPr>
    <w:r>
      <w:t>Farm Bill Information Sheet #10</w:t>
    </w:r>
    <w:r>
      <w:tab/>
    </w:r>
    <w:r>
      <w:tab/>
      <w:t>April 14,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8F0"/>
    <w:multiLevelType w:val="multilevel"/>
    <w:tmpl w:val="4C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A2969"/>
    <w:multiLevelType w:val="hybridMultilevel"/>
    <w:tmpl w:val="BD8A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27DC"/>
    <w:multiLevelType w:val="hybridMultilevel"/>
    <w:tmpl w:val="BB22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4203"/>
    <w:multiLevelType w:val="hybridMultilevel"/>
    <w:tmpl w:val="61FECA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770496"/>
    <w:multiLevelType w:val="hybridMultilevel"/>
    <w:tmpl w:val="568003D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129A4F85"/>
    <w:multiLevelType w:val="hybridMultilevel"/>
    <w:tmpl w:val="0EEA84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>
    <w:nsid w:val="15A74D26"/>
    <w:multiLevelType w:val="hybridMultilevel"/>
    <w:tmpl w:val="4B64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E7139"/>
    <w:multiLevelType w:val="hybridMultilevel"/>
    <w:tmpl w:val="D7C8A04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>
    <w:nsid w:val="27E2383E"/>
    <w:multiLevelType w:val="hybridMultilevel"/>
    <w:tmpl w:val="FBE8896E"/>
    <w:lvl w:ilvl="0" w:tplc="B1FA78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81E7D"/>
    <w:multiLevelType w:val="hybridMultilevel"/>
    <w:tmpl w:val="94C8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34B0F"/>
    <w:multiLevelType w:val="hybridMultilevel"/>
    <w:tmpl w:val="7744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54090"/>
    <w:multiLevelType w:val="hybridMultilevel"/>
    <w:tmpl w:val="BEA6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336C4"/>
    <w:multiLevelType w:val="hybridMultilevel"/>
    <w:tmpl w:val="76A8A008"/>
    <w:lvl w:ilvl="0" w:tplc="D6F4D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7523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84F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3608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252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3C2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E320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70C0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B24A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D2717DB"/>
    <w:multiLevelType w:val="hybridMultilevel"/>
    <w:tmpl w:val="DB90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413F0"/>
    <w:multiLevelType w:val="hybridMultilevel"/>
    <w:tmpl w:val="9D985B10"/>
    <w:lvl w:ilvl="0" w:tplc="0409000F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>
    <w:nsid w:val="4FEA1414"/>
    <w:multiLevelType w:val="hybridMultilevel"/>
    <w:tmpl w:val="698475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6803C16"/>
    <w:multiLevelType w:val="hybridMultilevel"/>
    <w:tmpl w:val="CE84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93C89"/>
    <w:multiLevelType w:val="hybridMultilevel"/>
    <w:tmpl w:val="1B864284"/>
    <w:lvl w:ilvl="0" w:tplc="55143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C29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EEB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C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F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2A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E2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A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6B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813AA1"/>
    <w:multiLevelType w:val="hybridMultilevel"/>
    <w:tmpl w:val="BFD6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C6EE9"/>
    <w:multiLevelType w:val="hybridMultilevel"/>
    <w:tmpl w:val="47D0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04774"/>
    <w:multiLevelType w:val="hybridMultilevel"/>
    <w:tmpl w:val="BDA87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5E1270"/>
    <w:multiLevelType w:val="hybridMultilevel"/>
    <w:tmpl w:val="13C0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15"/>
  </w:num>
  <w:num w:numId="10">
    <w:abstractNumId w:val="20"/>
  </w:num>
  <w:num w:numId="11">
    <w:abstractNumId w:val="13"/>
  </w:num>
  <w:num w:numId="12">
    <w:abstractNumId w:val="18"/>
  </w:num>
  <w:num w:numId="13">
    <w:abstractNumId w:val="1"/>
  </w:num>
  <w:num w:numId="14">
    <w:abstractNumId w:val="19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4"/>
  </w:num>
  <w:num w:numId="20">
    <w:abstractNumId w:val="0"/>
  </w:num>
  <w:num w:numId="21">
    <w:abstractNumId w:val="10"/>
  </w:num>
  <w:num w:numId="2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ouser,Rodney L">
    <w15:presenceInfo w15:providerId="AD" w15:userId="S-1-5-21-1308237860-4193317556-336787646-609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29"/>
    <w:rsid w:val="000038AD"/>
    <w:rsid w:val="0001381F"/>
    <w:rsid w:val="000456FD"/>
    <w:rsid w:val="00047F36"/>
    <w:rsid w:val="00050B87"/>
    <w:rsid w:val="00054126"/>
    <w:rsid w:val="00062566"/>
    <w:rsid w:val="0008458B"/>
    <w:rsid w:val="000A068E"/>
    <w:rsid w:val="000A08BE"/>
    <w:rsid w:val="000A4D47"/>
    <w:rsid w:val="000C09E0"/>
    <w:rsid w:val="000C32BB"/>
    <w:rsid w:val="000D3CEA"/>
    <w:rsid w:val="000D54BB"/>
    <w:rsid w:val="000D671B"/>
    <w:rsid w:val="000D718D"/>
    <w:rsid w:val="000D7C0C"/>
    <w:rsid w:val="000E4FC0"/>
    <w:rsid w:val="000E6DA9"/>
    <w:rsid w:val="000E7BF4"/>
    <w:rsid w:val="000F0D70"/>
    <w:rsid w:val="000F3E49"/>
    <w:rsid w:val="000F4029"/>
    <w:rsid w:val="000F480F"/>
    <w:rsid w:val="000F4C15"/>
    <w:rsid w:val="00104C7B"/>
    <w:rsid w:val="00111756"/>
    <w:rsid w:val="001324F5"/>
    <w:rsid w:val="00132F82"/>
    <w:rsid w:val="00133C09"/>
    <w:rsid w:val="00140BF4"/>
    <w:rsid w:val="00143DE1"/>
    <w:rsid w:val="00144318"/>
    <w:rsid w:val="00144325"/>
    <w:rsid w:val="00164A47"/>
    <w:rsid w:val="00164D24"/>
    <w:rsid w:val="001661FE"/>
    <w:rsid w:val="00172350"/>
    <w:rsid w:val="00180120"/>
    <w:rsid w:val="00180D05"/>
    <w:rsid w:val="00180D2D"/>
    <w:rsid w:val="00184F7B"/>
    <w:rsid w:val="001857A6"/>
    <w:rsid w:val="001B021A"/>
    <w:rsid w:val="001B7636"/>
    <w:rsid w:val="001C1AC8"/>
    <w:rsid w:val="001E11C8"/>
    <w:rsid w:val="001E2430"/>
    <w:rsid w:val="00205F70"/>
    <w:rsid w:val="0021756C"/>
    <w:rsid w:val="00225D0B"/>
    <w:rsid w:val="002373E0"/>
    <w:rsid w:val="0025103B"/>
    <w:rsid w:val="0026225F"/>
    <w:rsid w:val="00264447"/>
    <w:rsid w:val="00274407"/>
    <w:rsid w:val="00275347"/>
    <w:rsid w:val="00286E75"/>
    <w:rsid w:val="0029533F"/>
    <w:rsid w:val="002A4CE6"/>
    <w:rsid w:val="002A56FB"/>
    <w:rsid w:val="002D6C51"/>
    <w:rsid w:val="002E3788"/>
    <w:rsid w:val="003071D3"/>
    <w:rsid w:val="00313B23"/>
    <w:rsid w:val="0031407D"/>
    <w:rsid w:val="00322153"/>
    <w:rsid w:val="00324C06"/>
    <w:rsid w:val="003324C5"/>
    <w:rsid w:val="003378C5"/>
    <w:rsid w:val="00360055"/>
    <w:rsid w:val="003667D7"/>
    <w:rsid w:val="003706D9"/>
    <w:rsid w:val="003834C9"/>
    <w:rsid w:val="003D009C"/>
    <w:rsid w:val="003E6236"/>
    <w:rsid w:val="003F57C5"/>
    <w:rsid w:val="00402345"/>
    <w:rsid w:val="0040282B"/>
    <w:rsid w:val="00406107"/>
    <w:rsid w:val="004247A5"/>
    <w:rsid w:val="004277A4"/>
    <w:rsid w:val="00436B50"/>
    <w:rsid w:val="00445D66"/>
    <w:rsid w:val="00447D2C"/>
    <w:rsid w:val="00451248"/>
    <w:rsid w:val="004571A4"/>
    <w:rsid w:val="00457A4F"/>
    <w:rsid w:val="00463670"/>
    <w:rsid w:val="00470945"/>
    <w:rsid w:val="004B4217"/>
    <w:rsid w:val="004B721E"/>
    <w:rsid w:val="004C3A54"/>
    <w:rsid w:val="004C7A7E"/>
    <w:rsid w:val="004D47C8"/>
    <w:rsid w:val="00507ACA"/>
    <w:rsid w:val="00536014"/>
    <w:rsid w:val="005442E0"/>
    <w:rsid w:val="00551A4D"/>
    <w:rsid w:val="005659B8"/>
    <w:rsid w:val="005726A3"/>
    <w:rsid w:val="00575D3D"/>
    <w:rsid w:val="005978F9"/>
    <w:rsid w:val="005A6380"/>
    <w:rsid w:val="005C4C32"/>
    <w:rsid w:val="005C60D7"/>
    <w:rsid w:val="005D5201"/>
    <w:rsid w:val="005E7957"/>
    <w:rsid w:val="005F1D51"/>
    <w:rsid w:val="005F2A9E"/>
    <w:rsid w:val="00605732"/>
    <w:rsid w:val="00606891"/>
    <w:rsid w:val="00610499"/>
    <w:rsid w:val="00621906"/>
    <w:rsid w:val="00640A4F"/>
    <w:rsid w:val="00645B84"/>
    <w:rsid w:val="00646E3A"/>
    <w:rsid w:val="00653A2B"/>
    <w:rsid w:val="00657B84"/>
    <w:rsid w:val="00661C8A"/>
    <w:rsid w:val="0066297E"/>
    <w:rsid w:val="00664253"/>
    <w:rsid w:val="006659EC"/>
    <w:rsid w:val="00670258"/>
    <w:rsid w:val="00696686"/>
    <w:rsid w:val="006A4D98"/>
    <w:rsid w:val="006A4DAD"/>
    <w:rsid w:val="006D1665"/>
    <w:rsid w:val="006D24EF"/>
    <w:rsid w:val="006D2899"/>
    <w:rsid w:val="006D5EA8"/>
    <w:rsid w:val="006D78EF"/>
    <w:rsid w:val="006D7EB0"/>
    <w:rsid w:val="006E7F49"/>
    <w:rsid w:val="006F1027"/>
    <w:rsid w:val="006F2A82"/>
    <w:rsid w:val="00712411"/>
    <w:rsid w:val="00722347"/>
    <w:rsid w:val="00730DDB"/>
    <w:rsid w:val="00740B17"/>
    <w:rsid w:val="00744456"/>
    <w:rsid w:val="00744D45"/>
    <w:rsid w:val="00764CB1"/>
    <w:rsid w:val="007700B0"/>
    <w:rsid w:val="00773A83"/>
    <w:rsid w:val="00775AC3"/>
    <w:rsid w:val="00775DE2"/>
    <w:rsid w:val="0078578F"/>
    <w:rsid w:val="00794084"/>
    <w:rsid w:val="00796A03"/>
    <w:rsid w:val="007A3494"/>
    <w:rsid w:val="007A4745"/>
    <w:rsid w:val="007B4123"/>
    <w:rsid w:val="007E08A1"/>
    <w:rsid w:val="007E6BD3"/>
    <w:rsid w:val="007F4845"/>
    <w:rsid w:val="0080219C"/>
    <w:rsid w:val="00803184"/>
    <w:rsid w:val="0080728E"/>
    <w:rsid w:val="00812029"/>
    <w:rsid w:val="008367A7"/>
    <w:rsid w:val="00856F3D"/>
    <w:rsid w:val="00862A59"/>
    <w:rsid w:val="00867852"/>
    <w:rsid w:val="008701DC"/>
    <w:rsid w:val="00876455"/>
    <w:rsid w:val="008804C2"/>
    <w:rsid w:val="00890D26"/>
    <w:rsid w:val="00892D9B"/>
    <w:rsid w:val="008A13F4"/>
    <w:rsid w:val="008A2A17"/>
    <w:rsid w:val="008A30F3"/>
    <w:rsid w:val="008B4106"/>
    <w:rsid w:val="008C367C"/>
    <w:rsid w:val="008D7642"/>
    <w:rsid w:val="008E13FA"/>
    <w:rsid w:val="009011EB"/>
    <w:rsid w:val="00907451"/>
    <w:rsid w:val="00912F9C"/>
    <w:rsid w:val="00922283"/>
    <w:rsid w:val="00941E14"/>
    <w:rsid w:val="00944A4D"/>
    <w:rsid w:val="00953FB6"/>
    <w:rsid w:val="0095506E"/>
    <w:rsid w:val="00963537"/>
    <w:rsid w:val="00970F1B"/>
    <w:rsid w:val="0097698A"/>
    <w:rsid w:val="0098417C"/>
    <w:rsid w:val="009D0D45"/>
    <w:rsid w:val="009D4D26"/>
    <w:rsid w:val="009D5D36"/>
    <w:rsid w:val="009F2F04"/>
    <w:rsid w:val="00A04257"/>
    <w:rsid w:val="00A14512"/>
    <w:rsid w:val="00A17192"/>
    <w:rsid w:val="00A21B62"/>
    <w:rsid w:val="00A31394"/>
    <w:rsid w:val="00A415AD"/>
    <w:rsid w:val="00A528E1"/>
    <w:rsid w:val="00A60211"/>
    <w:rsid w:val="00A67A1D"/>
    <w:rsid w:val="00A70CC3"/>
    <w:rsid w:val="00A72EBF"/>
    <w:rsid w:val="00A76532"/>
    <w:rsid w:val="00A76B64"/>
    <w:rsid w:val="00A84943"/>
    <w:rsid w:val="00A84CB6"/>
    <w:rsid w:val="00AA3B12"/>
    <w:rsid w:val="00AA740A"/>
    <w:rsid w:val="00AD08D6"/>
    <w:rsid w:val="00AD3361"/>
    <w:rsid w:val="00AD3E97"/>
    <w:rsid w:val="00AD7123"/>
    <w:rsid w:val="00AE100A"/>
    <w:rsid w:val="00AE5EE7"/>
    <w:rsid w:val="00AE6AA8"/>
    <w:rsid w:val="00AF0825"/>
    <w:rsid w:val="00AF3802"/>
    <w:rsid w:val="00B057C7"/>
    <w:rsid w:val="00B2296B"/>
    <w:rsid w:val="00B23CD1"/>
    <w:rsid w:val="00B349D9"/>
    <w:rsid w:val="00B462E2"/>
    <w:rsid w:val="00B637C6"/>
    <w:rsid w:val="00B8429F"/>
    <w:rsid w:val="00BA1099"/>
    <w:rsid w:val="00BC1B96"/>
    <w:rsid w:val="00BC6B09"/>
    <w:rsid w:val="00BD3567"/>
    <w:rsid w:val="00BE56B9"/>
    <w:rsid w:val="00BF1C3C"/>
    <w:rsid w:val="00BF2A9C"/>
    <w:rsid w:val="00BF54F2"/>
    <w:rsid w:val="00BF63E9"/>
    <w:rsid w:val="00C00796"/>
    <w:rsid w:val="00C17D42"/>
    <w:rsid w:val="00C20F00"/>
    <w:rsid w:val="00C210B2"/>
    <w:rsid w:val="00C21A7C"/>
    <w:rsid w:val="00C24CD7"/>
    <w:rsid w:val="00C341D5"/>
    <w:rsid w:val="00C64789"/>
    <w:rsid w:val="00C675F1"/>
    <w:rsid w:val="00C70345"/>
    <w:rsid w:val="00C83529"/>
    <w:rsid w:val="00C83C56"/>
    <w:rsid w:val="00C909AE"/>
    <w:rsid w:val="00C92E99"/>
    <w:rsid w:val="00C95324"/>
    <w:rsid w:val="00CB09B3"/>
    <w:rsid w:val="00CD07A3"/>
    <w:rsid w:val="00CD267B"/>
    <w:rsid w:val="00CD421C"/>
    <w:rsid w:val="00CD5A85"/>
    <w:rsid w:val="00CD62FB"/>
    <w:rsid w:val="00CF2883"/>
    <w:rsid w:val="00CF7644"/>
    <w:rsid w:val="00D10295"/>
    <w:rsid w:val="00D32012"/>
    <w:rsid w:val="00D52289"/>
    <w:rsid w:val="00D73EEF"/>
    <w:rsid w:val="00D86FFB"/>
    <w:rsid w:val="00D9677D"/>
    <w:rsid w:val="00DA73D5"/>
    <w:rsid w:val="00DD431D"/>
    <w:rsid w:val="00DF3EC0"/>
    <w:rsid w:val="00E01318"/>
    <w:rsid w:val="00E01784"/>
    <w:rsid w:val="00E03582"/>
    <w:rsid w:val="00E10260"/>
    <w:rsid w:val="00E13806"/>
    <w:rsid w:val="00E15A7A"/>
    <w:rsid w:val="00E20E4A"/>
    <w:rsid w:val="00E32A06"/>
    <w:rsid w:val="00E33755"/>
    <w:rsid w:val="00E373BC"/>
    <w:rsid w:val="00E43235"/>
    <w:rsid w:val="00E53221"/>
    <w:rsid w:val="00E55D6B"/>
    <w:rsid w:val="00E57200"/>
    <w:rsid w:val="00E628FB"/>
    <w:rsid w:val="00E62E7C"/>
    <w:rsid w:val="00E65151"/>
    <w:rsid w:val="00E67B03"/>
    <w:rsid w:val="00E979C7"/>
    <w:rsid w:val="00EA2D20"/>
    <w:rsid w:val="00EE347B"/>
    <w:rsid w:val="00EF6D96"/>
    <w:rsid w:val="00F1290E"/>
    <w:rsid w:val="00F15F6B"/>
    <w:rsid w:val="00F339F4"/>
    <w:rsid w:val="00F340BB"/>
    <w:rsid w:val="00F359D1"/>
    <w:rsid w:val="00F3665A"/>
    <w:rsid w:val="00F445D4"/>
    <w:rsid w:val="00FB4082"/>
    <w:rsid w:val="00FB5BE7"/>
    <w:rsid w:val="00FC0DCD"/>
    <w:rsid w:val="00FC32A9"/>
    <w:rsid w:val="00FE2044"/>
    <w:rsid w:val="00FF0EE5"/>
    <w:rsid w:val="00FF48CE"/>
    <w:rsid w:val="00FF4F41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136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0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29"/>
  </w:style>
  <w:style w:type="paragraph" w:styleId="Footer">
    <w:name w:val="footer"/>
    <w:basedOn w:val="Normal"/>
    <w:link w:val="FooterChar"/>
    <w:uiPriority w:val="99"/>
    <w:unhideWhenUsed/>
    <w:rsid w:val="0081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29"/>
  </w:style>
  <w:style w:type="paragraph" w:styleId="BalloonText">
    <w:name w:val="Balloon Text"/>
    <w:basedOn w:val="Normal"/>
    <w:link w:val="BalloonTextChar"/>
    <w:uiPriority w:val="99"/>
    <w:semiHidden/>
    <w:unhideWhenUsed/>
    <w:rsid w:val="000E6D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42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4C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506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37C6"/>
    <w:pPr>
      <w:spacing w:after="0" w:line="240" w:lineRule="auto"/>
    </w:pPr>
  </w:style>
  <w:style w:type="table" w:styleId="TableGrid">
    <w:name w:val="Table Grid"/>
    <w:basedOn w:val="TableNormal"/>
    <w:uiPriority w:val="39"/>
    <w:rsid w:val="00E5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96A03"/>
  </w:style>
  <w:style w:type="paragraph" w:styleId="NormalWeb">
    <w:name w:val="Normal (Web)"/>
    <w:basedOn w:val="Normal"/>
    <w:uiPriority w:val="99"/>
    <w:semiHidden/>
    <w:unhideWhenUsed/>
    <w:rsid w:val="00AD336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D3361"/>
    <w:rPr>
      <w:b/>
      <w:bCs/>
    </w:rPr>
  </w:style>
  <w:style w:type="character" w:styleId="Emphasis">
    <w:name w:val="Emphasis"/>
    <w:basedOn w:val="DefaultParagraphFont"/>
    <w:uiPriority w:val="20"/>
    <w:qFormat/>
    <w:rsid w:val="00AD3361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C3A5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3A5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C3A5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0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29"/>
  </w:style>
  <w:style w:type="paragraph" w:styleId="Footer">
    <w:name w:val="footer"/>
    <w:basedOn w:val="Normal"/>
    <w:link w:val="FooterChar"/>
    <w:uiPriority w:val="99"/>
    <w:unhideWhenUsed/>
    <w:rsid w:val="0081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29"/>
  </w:style>
  <w:style w:type="paragraph" w:styleId="BalloonText">
    <w:name w:val="Balloon Text"/>
    <w:basedOn w:val="Normal"/>
    <w:link w:val="BalloonTextChar"/>
    <w:uiPriority w:val="99"/>
    <w:semiHidden/>
    <w:unhideWhenUsed/>
    <w:rsid w:val="000E6D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42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4C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506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37C6"/>
    <w:pPr>
      <w:spacing w:after="0" w:line="240" w:lineRule="auto"/>
    </w:pPr>
  </w:style>
  <w:style w:type="table" w:styleId="TableGrid">
    <w:name w:val="Table Grid"/>
    <w:basedOn w:val="TableNormal"/>
    <w:uiPriority w:val="39"/>
    <w:rsid w:val="00E5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96A03"/>
  </w:style>
  <w:style w:type="paragraph" w:styleId="NormalWeb">
    <w:name w:val="Normal (Web)"/>
    <w:basedOn w:val="Normal"/>
    <w:uiPriority w:val="99"/>
    <w:semiHidden/>
    <w:unhideWhenUsed/>
    <w:rsid w:val="00AD336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D3361"/>
    <w:rPr>
      <w:b/>
      <w:bCs/>
    </w:rPr>
  </w:style>
  <w:style w:type="character" w:styleId="Emphasis">
    <w:name w:val="Emphasis"/>
    <w:basedOn w:val="DefaultParagraphFont"/>
    <w:uiPriority w:val="20"/>
    <w:qFormat/>
    <w:rsid w:val="00AD3361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C3A5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3A5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C3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139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09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26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18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2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ma.usda.gov/aboutrma/fields/ga_rso/" TargetMode="External"/><Relationship Id="rId20" Type="http://schemas.openxmlformats.org/officeDocument/2006/relationships/theme" Target="theme/theme1.xml"/><Relationship Id="rId21" Type="http://schemas.microsoft.com/office/2011/relationships/people" Target="people.xml"/><Relationship Id="rId10" Type="http://schemas.openxmlformats.org/officeDocument/2006/relationships/hyperlink" Target="http://www3.rma.usda.gov/apps/agents/" TargetMode="External"/><Relationship Id="rId11" Type="http://schemas.openxmlformats.org/officeDocument/2006/relationships/hyperlink" Target="mailto:sickle@ufl.edu" TargetMode="External"/><Relationship Id="rId12" Type="http://schemas.openxmlformats.org/officeDocument/2006/relationships/hyperlink" Target="mailto:rclouser@ufl.edu" TargetMode="External"/><Relationship Id="rId13" Type="http://schemas.openxmlformats.org/officeDocument/2006/relationships/hyperlink" Target="mailto:arouca@ufl.edu" TargetMode="External"/><Relationship Id="rId14" Type="http://schemas.openxmlformats.org/officeDocument/2006/relationships/hyperlink" Target="http://www.fred.ifas.ufl.edu/FarmBill/index.html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ma.usda.gov/news/currentissues/farmbill/2014NationalSupplementalCoverageOptio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Vansickle,John J</dc:creator>
  <cp:lastModifiedBy>Marina Burani Arouca</cp:lastModifiedBy>
  <cp:revision>3</cp:revision>
  <dcterms:created xsi:type="dcterms:W3CDTF">2015-04-21T18:23:00Z</dcterms:created>
  <dcterms:modified xsi:type="dcterms:W3CDTF">2015-04-21T18:27:00Z</dcterms:modified>
</cp:coreProperties>
</file>